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shd w:val="clear"/>
        <w:tabs>
          <w:tab w:val="right" w:pos="9639"/>
        </w:tabs>
        <w:spacing w:after="0"/>
        <w:outlineLvl w:val="0"/>
        <w:rPr>
          <w:rFonts w:hint="default"/>
          <w:b/>
          <w:sz w:val="24"/>
          <w:highlight w:val="none"/>
          <w:lang w:val="en-US" w:eastAsia="zh-CN"/>
        </w:rPr>
      </w:pPr>
      <w:r>
        <w:rPr>
          <w:b/>
          <w:sz w:val="24"/>
          <w:highlight w:val="none"/>
          <w:lang w:val="en-US" w:eastAsia="zh-CN"/>
        </w:rPr>
        <w:t>3GPP TSG RAN Meeting #9</w:t>
      </w:r>
      <w:r>
        <w:rPr>
          <w:rFonts w:hint="default"/>
          <w:b/>
          <w:sz w:val="24"/>
          <w:highlight w:val="none"/>
          <w:lang w:val="en-US" w:eastAsia="zh-CN"/>
        </w:rPr>
        <w:t>6</w:t>
      </w:r>
      <w:r>
        <w:rPr>
          <w:b/>
          <w:sz w:val="24"/>
          <w:highlight w:val="none"/>
          <w:lang w:val="en-US" w:eastAsia="zh-CN"/>
        </w:rPr>
        <w:tab/>
      </w:r>
      <w:r>
        <w:rPr>
          <w:b/>
          <w:sz w:val="24"/>
          <w:highlight w:val="none"/>
          <w:lang w:val="en-US" w:eastAsia="zh-CN"/>
        </w:rPr>
        <w:t>RP-</w:t>
      </w:r>
      <w:r>
        <w:rPr>
          <w:rFonts w:hint="default"/>
          <w:b/>
          <w:sz w:val="24"/>
          <w:highlight w:val="none"/>
          <w:lang w:val="en-US" w:eastAsia="zh-CN"/>
        </w:rPr>
        <w:t>221356</w:t>
      </w:r>
    </w:p>
    <w:p>
      <w:pPr>
        <w:pStyle w:val="104"/>
        <w:shd w:val="clear"/>
        <w:tabs>
          <w:tab w:val="right" w:pos="9639"/>
        </w:tabs>
        <w:spacing w:after="0"/>
        <w:outlineLvl w:val="0"/>
        <w:rPr>
          <w:rFonts w:eastAsia="Batang" w:cs="Arial"/>
          <w:sz w:val="18"/>
          <w:szCs w:val="18"/>
          <w:highlight w:val="none"/>
          <w:lang w:eastAsia="zh-CN"/>
        </w:rPr>
      </w:pPr>
      <w:r>
        <w:rPr>
          <w:rFonts w:hint="default"/>
          <w:b/>
          <w:sz w:val="24"/>
          <w:highlight w:val="none"/>
          <w:lang w:val="en-US"/>
        </w:rPr>
        <w:t>Budapest</w:t>
      </w:r>
      <w:r>
        <w:rPr>
          <w:b/>
          <w:sz w:val="24"/>
          <w:highlight w:val="none"/>
        </w:rPr>
        <w:t>,</w:t>
      </w:r>
      <w:r>
        <w:rPr>
          <w:rFonts w:hint="default"/>
          <w:b/>
          <w:sz w:val="24"/>
          <w:highlight w:val="none"/>
          <w:lang w:val="en-US"/>
        </w:rPr>
        <w:t xml:space="preserve"> Hungary</w:t>
      </w:r>
      <w:r>
        <w:rPr>
          <w:b/>
          <w:sz w:val="24"/>
          <w:highlight w:val="none"/>
        </w:rPr>
        <w:t xml:space="preserve">, </w:t>
      </w:r>
      <w:r>
        <w:rPr>
          <w:rFonts w:hint="default"/>
          <w:b/>
          <w:sz w:val="24"/>
          <w:highlight w:val="none"/>
          <w:lang w:val="en-US"/>
        </w:rPr>
        <w:t>June</w:t>
      </w:r>
      <w:r>
        <w:rPr>
          <w:b/>
          <w:sz w:val="24"/>
          <w:highlight w:val="none"/>
        </w:rPr>
        <w:t xml:space="preserve"> </w:t>
      </w:r>
      <w:r>
        <w:rPr>
          <w:rFonts w:hint="default"/>
          <w:b/>
          <w:sz w:val="24"/>
          <w:highlight w:val="none"/>
          <w:lang w:val="en-US"/>
        </w:rPr>
        <w:t>6th</w:t>
      </w:r>
      <w:r>
        <w:rPr>
          <w:b/>
          <w:sz w:val="24"/>
          <w:highlight w:val="none"/>
        </w:rPr>
        <w:t xml:space="preserve"> - </w:t>
      </w:r>
      <w:r>
        <w:rPr>
          <w:rFonts w:hint="default"/>
          <w:b/>
          <w:sz w:val="24"/>
          <w:highlight w:val="none"/>
          <w:lang w:val="en-US"/>
        </w:rPr>
        <w:t>9th</w:t>
      </w:r>
      <w:r>
        <w:rPr>
          <w:b/>
          <w:sz w:val="24"/>
        </w:rPr>
        <w:t>, 2022</w:t>
      </w:r>
      <w:r>
        <w:rPr>
          <w:rFonts w:hint="eastAsia"/>
          <w:b/>
          <w:sz w:val="24"/>
          <w:lang w:eastAsia="zh-CN"/>
        </w:rPr>
        <w:t xml:space="preserve"> </w:t>
      </w:r>
      <w:r>
        <w:rPr>
          <w:rFonts w:hint="eastAsia"/>
          <w:b/>
          <w:sz w:val="24"/>
          <w:highlight w:val="none"/>
          <w:lang w:eastAsia="zh-CN"/>
        </w:rPr>
        <w:t xml:space="preserve">                                                                  </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13.5.7</w:t>
      </w:r>
      <w:bookmarkStart w:id="1" w:name="_GoBack"/>
      <w:bookmarkEnd w:id="1"/>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rPr>
              <w:t>UE Conformance Test Aspects - High power UE (power class 1.5) for NR band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w:t>
            </w:r>
            <w:r>
              <w:rPr>
                <w:rFonts w:hint="eastAsia" w:ascii="Arial" w:hAnsi="Arial" w:cs="Arial"/>
              </w:rPr>
              <w:t>UE</w:t>
            </w:r>
            <w:r>
              <w:rPr>
                <w:rFonts w:ascii="Arial" w:hAnsi="Arial" w:cs="Arial"/>
              </w:rPr>
              <w:t>_PC</w:t>
            </w:r>
            <w:r>
              <w:rPr>
                <w:rFonts w:hint="eastAsia" w:ascii="Arial" w:hAnsi="Arial" w:cs="Arial"/>
              </w:rPr>
              <w:t>1_5_n79</w:t>
            </w:r>
            <w:r>
              <w:rPr>
                <w:rFonts w:hint="eastAsia" w:ascii="Arial" w:hAnsi="Arial" w:cs="Arial"/>
                <w:lang w:val="en-US" w:eastAsia="zh-CN"/>
              </w:rPr>
              <w:t>-</w:t>
            </w:r>
            <w:r>
              <w:rPr>
                <w:rFonts w:ascii="Arial" w:hAnsi="Arial" w:cs="Arial"/>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hint="eastAsia" w:ascii="Arial" w:hAnsi="Arial" w:cs="Arial"/>
                <w:lang w:val="en-US" w:eastAsia="zh-CN"/>
              </w:rPr>
              <w:t>930052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ascii="Arial" w:hAnsi="Arial" w:cs="Arial"/>
                <w:lang w:eastAsia="ja-JP"/>
              </w:rPr>
              <w:fldChar w:fldCharType="begin"/>
            </w:r>
            <w:r>
              <w:rPr>
                <w:rFonts w:ascii="Arial" w:hAnsi="Arial" w:cs="Arial"/>
                <w:lang w:eastAsia="ja-JP"/>
              </w:rPr>
              <w:instrText xml:space="preserve"> HYPERLINK "http://www.3gpp.org/ftp/tsg_ran/TSG_RAN/TSGR_93e/Docs/RP-211979.zip" </w:instrText>
            </w:r>
            <w:r>
              <w:rPr>
                <w:rFonts w:ascii="Arial" w:hAnsi="Arial" w:cs="Arial"/>
                <w:lang w:eastAsia="ja-JP"/>
              </w:rPr>
              <w:fldChar w:fldCharType="separate"/>
            </w:r>
            <w:r>
              <w:rPr>
                <w:rStyle w:val="55"/>
                <w:rFonts w:ascii="Arial" w:hAnsi="Arial" w:cs="Arial"/>
                <w:lang w:eastAsia="ja-JP"/>
              </w:rPr>
              <w:t>RP-211979</w:t>
            </w:r>
            <w:r>
              <w:rPr>
                <w:rFonts w:ascii="Arial" w:hAnsi="Arial" w:cs="Arial"/>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 xml:space="preserve">Testing part: </w:t>
            </w:r>
            <w:r>
              <w:rPr>
                <w:rFonts w:hint="eastAsia" w:ascii="Arial" w:hAnsi="Arial" w:eastAsia="等线" w:cs="Arial"/>
                <w:color w:val="00B050"/>
                <w:lang w:val="en-US" w:eastAsia="zh-CN"/>
              </w:rPr>
              <w:t>Sep</w:t>
            </w:r>
            <w:r>
              <w:rPr>
                <w:rFonts w:hint="eastAsia" w:ascii="Arial" w:hAnsi="Arial" w:eastAsia="等线" w:cs="Arial"/>
                <w:color w:val="00B050"/>
              </w:rPr>
              <w:t xml:space="preserve">. </w:t>
            </w:r>
            <w:r>
              <w:rPr>
                <w:rFonts w:ascii="Arial" w:hAnsi="Arial" w:cs="Arial"/>
                <w:color w:val="00B050"/>
                <w:lang w:eastAsia="ja-JP"/>
              </w:rPr>
              <w:t>20</w:t>
            </w:r>
            <w:r>
              <w:rPr>
                <w:rFonts w:hint="eastAsia" w:ascii="Arial" w:hAnsi="Arial" w:eastAsia="等线" w:cs="Arial"/>
                <w:color w:val="00B050"/>
              </w:rPr>
              <w:t>2</w:t>
            </w:r>
            <w:r>
              <w:rPr>
                <w:rFonts w:hint="eastAsia" w:ascii="Arial" w:hAnsi="Arial" w:eastAsia="等线" w:cs="Arial"/>
                <w:color w:val="00B050"/>
                <w:lang w:val="en-US" w:eastAsia="zh-CN"/>
              </w:rPr>
              <w:t>2</w:t>
            </w:r>
            <w:r>
              <w:rPr>
                <w:rFonts w:ascii="Arial" w:hAnsi="Arial" w:cs="Arial"/>
                <w:color w:val="FF9900"/>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r>
              <w:rPr>
                <w:rFonts w:hint="default" w:ascii="Arial" w:hAnsi="Arial" w:eastAsia="宋体" w:cs="Arial"/>
                <w:color w:val="00B050"/>
                <w:highlight w:val="none"/>
                <w:lang w:val="en-US" w:eastAsia="zh-CN"/>
              </w:rPr>
              <w:t>84</w:t>
            </w:r>
            <w:r>
              <w:rPr>
                <w:rFonts w:ascii="Arial" w:hAnsi="Arial" w:cs="Arial"/>
                <w:color w:val="00B050"/>
                <w:highlight w:val="none"/>
                <w:lang w:eastAsia="ja-JP"/>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279"/>
        <w:gridCol w:w="6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1" w:type="dxa"/>
            <w:gridSpan w:val="2"/>
          </w:tcPr>
          <w:p>
            <w:pPr>
              <w:tabs>
                <w:tab w:val="left" w:pos="567"/>
              </w:tabs>
              <w:spacing w:after="0"/>
              <w:rPr>
                <w:rFonts w:ascii="Arial" w:hAnsi="Arial" w:cs="Arial"/>
                <w:b/>
              </w:rPr>
            </w:pPr>
            <w:r>
              <w:rPr>
                <w:rFonts w:ascii="Arial" w:hAnsi="Arial" w:cs="Arial"/>
                <w:b/>
              </w:rPr>
              <w:t>Leading WG</w:t>
            </w:r>
          </w:p>
        </w:tc>
        <w:tc>
          <w:tcPr>
            <w:tcW w:w="6087"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restart"/>
            <w:vAlign w:val="center"/>
          </w:tcPr>
          <w:p>
            <w:pPr>
              <w:tabs>
                <w:tab w:val="left" w:pos="567"/>
              </w:tabs>
              <w:rPr>
                <w:rFonts w:ascii="Arial" w:hAnsi="Arial" w:cs="Arial"/>
                <w:b/>
              </w:rPr>
            </w:pPr>
            <w:r>
              <w:rPr>
                <w:rFonts w:ascii="Arial" w:hAnsi="Arial" w:cs="Arial"/>
                <w:b/>
              </w:rPr>
              <w:t>Rapporteur</w:t>
            </w:r>
          </w:p>
        </w:tc>
        <w:tc>
          <w:tcPr>
            <w:tcW w:w="1279" w:type="dxa"/>
          </w:tcPr>
          <w:p>
            <w:pPr>
              <w:tabs>
                <w:tab w:val="left" w:pos="567"/>
              </w:tabs>
              <w:spacing w:after="0"/>
              <w:rPr>
                <w:rFonts w:ascii="Arial" w:hAnsi="Arial" w:cs="Arial"/>
                <w:b/>
              </w:rPr>
            </w:pPr>
            <w:r>
              <w:rPr>
                <w:rFonts w:ascii="Arial" w:hAnsi="Arial" w:cs="Arial"/>
                <w:b/>
              </w:rPr>
              <w:t>Name</w:t>
            </w:r>
          </w:p>
        </w:tc>
        <w:tc>
          <w:tcPr>
            <w:tcW w:w="6087"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rPr>
            </w:pPr>
          </w:p>
        </w:tc>
        <w:tc>
          <w:tcPr>
            <w:tcW w:w="1279" w:type="dxa"/>
          </w:tcPr>
          <w:p>
            <w:pPr>
              <w:tabs>
                <w:tab w:val="left" w:pos="567"/>
              </w:tabs>
              <w:spacing w:after="0"/>
              <w:rPr>
                <w:rFonts w:ascii="Arial" w:hAnsi="Arial" w:cs="Arial"/>
                <w:b/>
              </w:rPr>
            </w:pPr>
            <w:r>
              <w:rPr>
                <w:rFonts w:ascii="Arial" w:hAnsi="Arial" w:cs="Arial"/>
                <w:b/>
              </w:rPr>
              <w:t>Company</w:t>
            </w:r>
          </w:p>
        </w:tc>
        <w:tc>
          <w:tcPr>
            <w:tcW w:w="6087" w:type="dxa"/>
          </w:tcPr>
          <w:p>
            <w:pPr>
              <w:tabs>
                <w:tab w:val="left" w:pos="567"/>
              </w:tabs>
              <w:spacing w:after="0"/>
              <w:rPr>
                <w:rFonts w:ascii="Arial" w:hAnsi="Arial" w:eastAsia="等线" w:cs="Arial"/>
                <w:lang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rPr>
            </w:pPr>
          </w:p>
        </w:tc>
        <w:tc>
          <w:tcPr>
            <w:tcW w:w="1279" w:type="dxa"/>
          </w:tcPr>
          <w:p>
            <w:pPr>
              <w:tabs>
                <w:tab w:val="left" w:pos="567"/>
              </w:tabs>
              <w:spacing w:after="0"/>
              <w:rPr>
                <w:rFonts w:ascii="Arial" w:hAnsi="Arial" w:cs="Arial"/>
                <w:b/>
              </w:rPr>
            </w:pPr>
            <w:r>
              <w:rPr>
                <w:rFonts w:ascii="Arial" w:hAnsi="Arial" w:cs="Arial"/>
                <w:b/>
              </w:rPr>
              <w:t>Email</w:t>
            </w:r>
          </w:p>
        </w:tc>
        <w:tc>
          <w:tcPr>
            <w:tcW w:w="6087" w:type="dxa"/>
          </w:tcPr>
          <w:p>
            <w:pPr>
              <w:tabs>
                <w:tab w:val="left" w:pos="567"/>
              </w:tabs>
              <w:spacing w:after="0"/>
              <w:rPr>
                <w:rFonts w:ascii="Arial" w:hAnsi="Arial" w:eastAsia="等线" w:cs="Arial"/>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outlineLvl w:val="0"/>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Lines="50"/>
        <w:rPr>
          <w:rFonts w:ascii="Arial" w:hAnsi="Arial" w:cs="Arial"/>
        </w:rPr>
      </w:pPr>
      <w:r>
        <w:rPr>
          <w:rFonts w:ascii="Arial" w:hAnsi="Arial" w:cs="Arial"/>
        </w:rPr>
        <w:t>Status after RAN5#</w:t>
      </w:r>
      <w:r>
        <w:rPr>
          <w:rFonts w:hint="eastAsia" w:ascii="Arial" w:hAnsi="Arial" w:cs="Arial" w:eastAsiaTheme="minorEastAsia"/>
        </w:rPr>
        <w:t>9</w:t>
      </w:r>
      <w:r>
        <w:rPr>
          <w:rFonts w:hint="default" w:ascii="Arial" w:hAnsi="Arial" w:cs="Arial" w:eastAsiaTheme="minorEastAsia"/>
          <w:lang w:val="en-US" w:eastAsia="zh-CN"/>
        </w:rPr>
        <w:t>5</w:t>
      </w:r>
      <w:r>
        <w:rPr>
          <w:rFonts w:hint="eastAsia" w:ascii="Arial" w:hAnsi="Arial" w:eastAsia="等线" w:cs="Arial"/>
        </w:rPr>
        <w:t>-e</w:t>
      </w:r>
      <w:r>
        <w:rPr>
          <w:rFonts w:ascii="Arial" w:hAnsi="Arial" w:cs="Arial"/>
        </w:rPr>
        <w:t xml:space="preserve"> (the details can be found in </w:t>
      </w:r>
      <w:r>
        <w:rPr>
          <w:rFonts w:ascii="Arial" w:hAnsi="Arial" w:cs="Arial"/>
          <w:lang w:eastAsia="ja-JP"/>
        </w:rPr>
        <w:t>R5-2</w:t>
      </w:r>
      <w:r>
        <w:rPr>
          <w:rFonts w:hint="eastAsia" w:ascii="Arial" w:hAnsi="Arial" w:eastAsia="宋体" w:cs="Arial"/>
          <w:lang w:val="en-US" w:eastAsia="zh-CN"/>
        </w:rPr>
        <w:t>2</w:t>
      </w:r>
      <w:r>
        <w:rPr>
          <w:rFonts w:hint="default" w:ascii="Arial" w:hAnsi="Arial" w:eastAsia="宋体" w:cs="Arial"/>
          <w:highlight w:val="none"/>
          <w:lang w:val="en-US" w:eastAsia="zh-CN"/>
        </w:rPr>
        <w:t>2219</w:t>
      </w:r>
      <w:r>
        <w:rPr>
          <w:rFonts w:ascii="Arial" w:hAnsi="Arial" w:cs="Arial"/>
          <w:highlight w:val="none"/>
        </w:rPr>
        <w:t>)</w:t>
      </w:r>
      <w:r>
        <w:rPr>
          <w:rFonts w:ascii="Arial" w:hAnsi="Arial" w:cs="Arial"/>
        </w:rPr>
        <w:t>:</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eastAsia="等线" w:cs="Arial"/>
          <w:highlight w:val="none"/>
          <w:lang w:val="en-US" w:eastAsia="zh-CN"/>
        </w:rPr>
        <w:t>84</w:t>
      </w:r>
      <w:r>
        <w:rPr>
          <w:rFonts w:ascii="Arial" w:hAnsi="Arial" w:cs="Arial"/>
          <w:highlight w:val="none"/>
        </w:rPr>
        <w:t xml:space="preserve">% overall </w:t>
      </w:r>
      <w:bookmarkStart w:id="0" w:name="OLE_LINK1"/>
      <w:r>
        <w:rPr>
          <w:rFonts w:ascii="Arial" w:hAnsi="Arial" w:cs="Arial"/>
          <w:highlight w:val="none"/>
        </w:rPr>
        <w:t>completeness</w:t>
      </w:r>
      <w:bookmarkEnd w:id="0"/>
      <w:r>
        <w:rPr>
          <w:rFonts w:ascii="Arial" w:hAnsi="Arial" w:cs="Arial"/>
          <w:highlight w:val="none"/>
        </w:rPr>
        <w:t xml:space="preserve"> achieved</w:t>
      </w:r>
    </w:p>
    <w:p>
      <w:pPr>
        <w:numPr>
          <w:ilvl w:val="0"/>
          <w:numId w:val="5"/>
        </w:numPr>
        <w:shd w:val="clea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RF</w:t>
      </w:r>
      <w:r>
        <w:rPr>
          <w:rFonts w:hint="eastAsia" w:ascii="Arial" w:hAnsi="Arial" w:cs="Arial" w:eastAsiaTheme="minorEastAsia"/>
          <w:color w:val="auto"/>
          <w:highlight w:val="none"/>
        </w:rPr>
        <w:t xml:space="preserve">, </w:t>
      </w:r>
      <w:r>
        <w:rPr>
          <w:rFonts w:hint="default" w:ascii="Arial" w:hAnsi="Arial" w:cs="Arial" w:eastAsiaTheme="minorEastAsia"/>
          <w:color w:val="auto"/>
          <w:highlight w:val="none"/>
          <w:lang w:val="en-US" w:eastAsia="zh-CN"/>
        </w:rPr>
        <w:t>6</w:t>
      </w:r>
      <w:r>
        <w:rPr>
          <w:rFonts w:hint="eastAsia" w:ascii="Arial" w:hAnsi="Arial" w:cs="Arial" w:eastAsiaTheme="minorEastAsia"/>
          <w:color w:val="auto"/>
          <w:highlight w:val="none"/>
        </w:rPr>
        <w:t xml:space="preserve"> </w:t>
      </w:r>
      <w:r>
        <w:rPr>
          <w:rFonts w:hint="default" w:ascii="Arial" w:hAnsi="Arial" w:cs="Arial" w:eastAsiaTheme="minorEastAsia"/>
          <w:color w:val="auto"/>
          <w:highlight w:val="none"/>
          <w:lang w:val="en-US"/>
        </w:rPr>
        <w:t>CR</w:t>
      </w:r>
      <w:r>
        <w:rPr>
          <w:rFonts w:hint="eastAsia" w:ascii="Arial" w:hAnsi="Arial" w:cs="Arial" w:eastAsiaTheme="minorEastAsia"/>
          <w:highlight w:val="none"/>
        </w:rPr>
        <w:t xml:space="preserve"> w</w:t>
      </w:r>
      <w:r>
        <w:rPr>
          <w:rFonts w:hint="default" w:ascii="Arial" w:hAnsi="Arial" w:cs="Arial" w:eastAsiaTheme="minorEastAsia"/>
          <w:highlight w:val="none"/>
          <w:lang w:val="en-US"/>
        </w:rPr>
        <w:t>as</w:t>
      </w:r>
      <w:r>
        <w:rPr>
          <w:rFonts w:hint="eastAsia" w:ascii="Arial" w:hAnsi="Arial" w:cs="Arial" w:eastAsiaTheme="minorEastAsia"/>
          <w:highlight w:val="none"/>
        </w:rPr>
        <w:t xml:space="preserve"> agreed.</w:t>
      </w:r>
    </w:p>
    <w:p>
      <w:pPr>
        <w:numPr>
          <w:ilvl w:val="0"/>
          <w:numId w:val="5"/>
        </w:numPr>
        <w:shd w:val="clear"/>
        <w:overflowPunct/>
        <w:autoSpaceDE/>
        <w:autoSpaceDN/>
        <w:snapToGrid w:val="0"/>
        <w:spacing w:afterLines="50"/>
        <w:textAlignment w:val="auto"/>
        <w:rPr>
          <w:rFonts w:ascii="Arial" w:hAnsi="Arial" w:cs="Arial"/>
          <w:highlight w:val="none"/>
        </w:rPr>
      </w:pPr>
      <w:r>
        <w:rPr>
          <w:rFonts w:hint="default" w:ascii="Arial" w:hAnsi="Arial" w:cs="Arial" w:eastAsiaTheme="minorEastAsia"/>
          <w:highlight w:val="none"/>
          <w:lang w:val="en-US"/>
        </w:rPr>
        <w:t>For RF Applicability</w:t>
      </w:r>
      <w:r>
        <w:rPr>
          <w:rFonts w:hint="default" w:ascii="Arial" w:hAnsi="Arial" w:cs="Arial" w:eastAsiaTheme="minorEastAsia"/>
          <w:highlight w:val="none"/>
          <w:lang w:val="en-US" w:eastAsia="zh-CN"/>
        </w:rPr>
        <w:t>, 1 CR was agreed.</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highlight w:val="none"/>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hint="eastAsia" w:ascii="Arial" w:hAnsi="Arial" w:eastAsia="等线" w:cs="Arial"/>
          <w:highlight w:val="none"/>
        </w:rPr>
        <w:t>R5-2</w:t>
      </w:r>
      <w:r>
        <w:rPr>
          <w:rFonts w:hint="eastAsia" w:ascii="Arial" w:hAnsi="Arial" w:eastAsia="等线" w:cs="Arial"/>
          <w:highlight w:val="none"/>
          <w:lang w:val="en-US" w:eastAsia="zh-CN"/>
        </w:rPr>
        <w:t>2</w:t>
      </w:r>
      <w:r>
        <w:rPr>
          <w:rFonts w:hint="default" w:ascii="Arial" w:hAnsi="Arial" w:eastAsia="等线" w:cs="Arial"/>
          <w:highlight w:val="none"/>
          <w:lang w:val="en-US" w:eastAsia="zh-CN"/>
        </w:rPr>
        <w:t>2219</w:t>
      </w:r>
      <w:r>
        <w:rPr>
          <w:rFonts w:hint="eastAsia" w:ascii="Arial" w:hAnsi="Arial" w:eastAsia="等线" w:cs="Arial"/>
          <w:highlight w:val="none"/>
          <w:lang w:val="en-US" w:eastAsia="zh-CN"/>
        </w:rPr>
        <w:t xml:space="preserve">, </w:t>
      </w:r>
      <w:r>
        <w:rPr>
          <w:rFonts w:hint="eastAsia" w:ascii="Arial" w:hAnsi="Arial" w:eastAsia="等线" w:cs="Arial"/>
          <w:highlight w:val="none"/>
        </w:rPr>
        <w:t>WP - Rel-17 PC1.5 n79 after RAN5#9</w:t>
      </w:r>
      <w:r>
        <w:rPr>
          <w:rFonts w:hint="default" w:ascii="Arial" w:hAnsi="Arial" w:eastAsia="等线" w:cs="Arial"/>
          <w:highlight w:val="none"/>
          <w:lang w:val="en-US" w:eastAsia="zh-CN"/>
        </w:rPr>
        <w:t>5</w:t>
      </w:r>
      <w:r>
        <w:rPr>
          <w:rFonts w:hint="eastAsia" w:ascii="Arial" w:hAnsi="Arial" w:eastAsia="等线" w:cs="Arial"/>
          <w:highlight w:val="none"/>
        </w:rPr>
        <w:t>-e</w:t>
      </w:r>
      <w:r>
        <w:rPr>
          <w:rFonts w:hint="eastAsia" w:ascii="Arial" w:hAnsi="Arial" w:eastAsia="等线" w:cs="Arial"/>
          <w:highlight w:val="none"/>
          <w:lang w:val="en-US" w:eastAsia="zh-CN"/>
        </w:rPr>
        <w:t>, CMCC</w:t>
      </w:r>
    </w:p>
    <w:p>
      <w:pPr>
        <w:tabs>
          <w:tab w:val="left" w:pos="567"/>
        </w:tabs>
        <w:overflowPunct/>
        <w:autoSpaceDE/>
        <w:autoSpaceDN/>
        <w:snapToGrid w:val="0"/>
        <w:spacing w:after="0"/>
        <w:textAlignment w:val="auto"/>
        <w:rPr>
          <w:rFonts w:ascii="Arial" w:hAnsi="Arial" w:eastAsia="等线" w:cs="Arial"/>
          <w:highlight w:val="none"/>
        </w:rPr>
      </w:pPr>
    </w:p>
    <w:p>
      <w:pPr>
        <w:tabs>
          <w:tab w:val="left" w:pos="567"/>
        </w:tabs>
        <w:overflowPunct/>
        <w:autoSpaceDE/>
        <w:autoSpaceDN/>
        <w:snapToGrid w:val="0"/>
        <w:spacing w:after="0"/>
        <w:textAlignment w:val="auto"/>
        <w:rPr>
          <w:rFonts w:ascii="Arial" w:hAnsi="Arial" w:eastAsia="等线" w:cs="Arial"/>
          <w:b/>
          <w:highlight w:val="none"/>
        </w:rPr>
      </w:pPr>
      <w:r>
        <w:rPr>
          <w:rFonts w:ascii="Arial" w:hAnsi="Arial" w:eastAsia="等线" w:cs="Arial"/>
          <w:b/>
          <w:highlight w:val="none"/>
        </w:rPr>
        <w:t>TS 38.52</w:t>
      </w:r>
      <w:r>
        <w:rPr>
          <w:rFonts w:hint="eastAsia" w:ascii="Arial" w:hAnsi="Arial" w:eastAsia="等线" w:cs="Arial"/>
          <w:b/>
          <w:highlight w:val="none"/>
          <w:lang w:val="en-US" w:eastAsia="zh-CN"/>
        </w:rPr>
        <w:t>1</w:t>
      </w:r>
      <w:r>
        <w:rPr>
          <w:rFonts w:ascii="Arial" w:hAnsi="Arial" w:eastAsia="等线" w:cs="Arial"/>
          <w:b/>
          <w:highlight w:val="none"/>
        </w:rPr>
        <w:t>-1 CRs</w:t>
      </w:r>
    </w:p>
    <w:p>
      <w:pPr>
        <w:numPr>
          <w:ilvl w:val="0"/>
          <w:numId w:val="6"/>
        </w:numPr>
        <w:shd w:val="clear"/>
        <w:tabs>
          <w:tab w:val="left" w:pos="567"/>
        </w:tabs>
        <w:overflowPunct/>
        <w:autoSpaceDE/>
        <w:autoSpaceDN/>
        <w:snapToGrid w:val="0"/>
        <w:spacing w:after="0"/>
        <w:textAlignment w:val="auto"/>
        <w:outlineLvl w:val="0"/>
        <w:rPr>
          <w:rFonts w:ascii="Arial" w:hAnsi="Arial" w:eastAsia="等线" w:cs="Arial"/>
          <w:highlight w:val="none"/>
        </w:rPr>
      </w:pPr>
      <w:r>
        <w:rPr>
          <w:rFonts w:hint="eastAsia" w:ascii="Arial" w:hAnsi="Arial" w:eastAsia="等线" w:cs="Arial"/>
          <w:highlight w:val="none"/>
        </w:rPr>
        <w:t>R5-223773</w:t>
      </w:r>
      <w:r>
        <w:rPr>
          <w:rFonts w:hint="default" w:ascii="Arial" w:hAnsi="Arial" w:eastAsia="等线" w:cs="Arial"/>
          <w:highlight w:val="none"/>
          <w:lang w:val="en-US"/>
        </w:rPr>
        <w:t xml:space="preserve"> </w:t>
      </w:r>
      <w:r>
        <w:rPr>
          <w:rFonts w:hint="eastAsia" w:ascii="Arial" w:hAnsi="Arial" w:eastAsia="等线" w:cs="Arial"/>
          <w:highlight w:val="none"/>
        </w:rPr>
        <w:t>Removal of PC1.5 from TC 6.2.1 MOP</w:t>
      </w:r>
      <w:r>
        <w:rPr>
          <w:rFonts w:hint="default" w:ascii="Arial" w:hAnsi="Arial" w:eastAsia="等线" w:cs="Arial"/>
          <w:highlight w:val="none"/>
          <w:lang w:val="en-US"/>
        </w:rPr>
        <w:t xml:space="preserve">, </w:t>
      </w:r>
      <w:r>
        <w:rPr>
          <w:rFonts w:hint="eastAsia" w:ascii="Arial" w:hAnsi="Arial" w:eastAsia="等线" w:cs="Arial"/>
          <w:highlight w:val="none"/>
        </w:rPr>
        <w:t>CMCC</w:t>
      </w:r>
    </w:p>
    <w:p>
      <w:pPr>
        <w:numPr>
          <w:ilvl w:val="0"/>
          <w:numId w:val="6"/>
        </w:numPr>
        <w:shd w:val="clear"/>
        <w:tabs>
          <w:tab w:val="left" w:pos="567"/>
        </w:tabs>
        <w:overflowPunct/>
        <w:autoSpaceDE/>
        <w:autoSpaceDN/>
        <w:snapToGrid w:val="0"/>
        <w:spacing w:after="0"/>
        <w:textAlignment w:val="auto"/>
        <w:outlineLvl w:val="0"/>
        <w:rPr>
          <w:rFonts w:ascii="Arial" w:hAnsi="Arial" w:eastAsia="等线" w:cs="Arial"/>
          <w:highlight w:val="none"/>
        </w:rPr>
      </w:pPr>
      <w:r>
        <w:rPr>
          <w:rFonts w:hint="eastAsia" w:ascii="Arial" w:hAnsi="Arial" w:eastAsia="等线" w:cs="Arial"/>
          <w:highlight w:val="none"/>
        </w:rPr>
        <w:t>R5-223774</w:t>
      </w:r>
      <w:r>
        <w:rPr>
          <w:rFonts w:hint="default" w:ascii="Arial" w:hAnsi="Arial" w:eastAsia="等线" w:cs="Arial"/>
          <w:highlight w:val="none"/>
          <w:lang w:val="en-US"/>
        </w:rPr>
        <w:t xml:space="preserve"> Removal of PC1.5 from TC 6.2.2 MPR, </w:t>
      </w:r>
      <w:r>
        <w:rPr>
          <w:rFonts w:hint="eastAsia" w:ascii="Arial" w:hAnsi="Arial" w:eastAsia="等线" w:cs="Arial"/>
          <w:highlight w:val="none"/>
        </w:rPr>
        <w:t>CMCC</w:t>
      </w:r>
    </w:p>
    <w:p>
      <w:pPr>
        <w:numPr>
          <w:ilvl w:val="0"/>
          <w:numId w:val="6"/>
        </w:numPr>
        <w:shd w:val="clear"/>
        <w:tabs>
          <w:tab w:val="left" w:pos="567"/>
        </w:tabs>
        <w:overflowPunct/>
        <w:autoSpaceDE/>
        <w:autoSpaceDN/>
        <w:snapToGrid w:val="0"/>
        <w:spacing w:after="0"/>
        <w:textAlignment w:val="auto"/>
        <w:outlineLvl w:val="0"/>
        <w:rPr>
          <w:rFonts w:ascii="Arial" w:hAnsi="Arial" w:eastAsia="等线" w:cs="Arial"/>
          <w:highlight w:val="none"/>
        </w:rPr>
      </w:pPr>
      <w:r>
        <w:rPr>
          <w:rFonts w:hint="eastAsia" w:ascii="Arial" w:hAnsi="Arial" w:eastAsia="等线" w:cs="Arial"/>
          <w:highlight w:val="none"/>
        </w:rPr>
        <w:t>R5-223776</w:t>
      </w:r>
      <w:r>
        <w:rPr>
          <w:rFonts w:hint="default" w:ascii="Arial" w:hAnsi="Arial" w:eastAsia="等线" w:cs="Arial"/>
          <w:highlight w:val="none"/>
          <w:lang w:val="en-US"/>
        </w:rPr>
        <w:t xml:space="preserve"> Removal of PC1.5 from TC 6.5.2.4.1 ACLR, CMCC</w:t>
      </w:r>
    </w:p>
    <w:p>
      <w:pPr>
        <w:numPr>
          <w:ilvl w:val="0"/>
          <w:numId w:val="6"/>
        </w:numPr>
        <w:shd w:val="clear"/>
        <w:tabs>
          <w:tab w:val="left" w:pos="567"/>
        </w:tabs>
        <w:overflowPunct/>
        <w:autoSpaceDE/>
        <w:autoSpaceDN/>
        <w:snapToGrid w:val="0"/>
        <w:spacing w:after="0"/>
        <w:textAlignment w:val="auto"/>
        <w:outlineLvl w:val="0"/>
        <w:rPr>
          <w:rFonts w:ascii="Arial" w:hAnsi="Arial" w:eastAsia="等线" w:cs="Arial"/>
          <w:highlight w:val="none"/>
        </w:rPr>
      </w:pPr>
      <w:r>
        <w:rPr>
          <w:rFonts w:hint="eastAsia" w:ascii="Arial" w:hAnsi="Arial" w:eastAsia="等线" w:cs="Arial"/>
          <w:highlight w:val="none"/>
        </w:rPr>
        <w:t>R5-223777</w:t>
      </w:r>
      <w:r>
        <w:rPr>
          <w:rFonts w:hint="default" w:ascii="Arial" w:hAnsi="Arial" w:eastAsia="等线" w:cs="Arial"/>
          <w:highlight w:val="none"/>
          <w:lang w:val="en-US"/>
        </w:rPr>
        <w:t xml:space="preserve"> Addition of new test case 6.2G.1 maximum output power for Tx Diversity, Huawei, HiSilicon</w:t>
      </w:r>
    </w:p>
    <w:p>
      <w:pPr>
        <w:numPr>
          <w:ilvl w:val="0"/>
          <w:numId w:val="6"/>
        </w:numPr>
        <w:shd w:val="clear"/>
        <w:tabs>
          <w:tab w:val="left" w:pos="567"/>
        </w:tabs>
        <w:overflowPunct/>
        <w:autoSpaceDE/>
        <w:autoSpaceDN/>
        <w:snapToGrid w:val="0"/>
        <w:spacing w:after="0"/>
        <w:textAlignment w:val="auto"/>
        <w:outlineLvl w:val="0"/>
        <w:rPr>
          <w:rFonts w:ascii="Arial" w:hAnsi="Arial" w:eastAsia="等线" w:cs="Arial"/>
          <w:highlight w:val="none"/>
        </w:rPr>
      </w:pPr>
      <w:r>
        <w:rPr>
          <w:rFonts w:hint="eastAsia" w:ascii="Arial" w:hAnsi="Arial" w:eastAsia="等线" w:cs="Arial"/>
          <w:highlight w:val="none"/>
        </w:rPr>
        <w:t>R5-223778</w:t>
      </w:r>
      <w:r>
        <w:rPr>
          <w:rFonts w:hint="default" w:ascii="Arial" w:hAnsi="Arial" w:eastAsia="等线" w:cs="Arial"/>
          <w:highlight w:val="none"/>
          <w:lang w:val="en-US"/>
        </w:rPr>
        <w:t xml:space="preserve"> Addition of new test case 6.2G.2 maximum output power reduction for Tx Diversity, Huawei, HiSilicon</w:t>
      </w:r>
    </w:p>
    <w:p>
      <w:pPr>
        <w:numPr>
          <w:ilvl w:val="0"/>
          <w:numId w:val="6"/>
        </w:numPr>
        <w:shd w:val="clear"/>
        <w:tabs>
          <w:tab w:val="left" w:pos="567"/>
        </w:tabs>
        <w:overflowPunct/>
        <w:autoSpaceDE/>
        <w:autoSpaceDN/>
        <w:snapToGrid w:val="0"/>
        <w:spacing w:after="0"/>
        <w:textAlignment w:val="auto"/>
        <w:outlineLvl w:val="0"/>
        <w:rPr>
          <w:rFonts w:ascii="Arial" w:hAnsi="Arial" w:eastAsia="等线" w:cs="Arial"/>
          <w:highlight w:val="none"/>
        </w:rPr>
      </w:pPr>
      <w:r>
        <w:rPr>
          <w:rFonts w:hint="eastAsia" w:ascii="Arial" w:hAnsi="Arial" w:eastAsia="等线" w:cs="Arial"/>
          <w:highlight w:val="none"/>
        </w:rPr>
        <w:t>R5-223780</w:t>
      </w:r>
      <w:r>
        <w:rPr>
          <w:rFonts w:hint="default" w:ascii="Arial" w:hAnsi="Arial" w:eastAsia="等线" w:cs="Arial"/>
          <w:highlight w:val="none"/>
          <w:lang w:val="en-US"/>
        </w:rPr>
        <w:t xml:space="preserve"> Addition of new test case 6.5G.2.3 Adjacent channel leakage ratio for Tx, Huawei, HiSilicon</w:t>
      </w:r>
    </w:p>
    <w:p>
      <w:pPr>
        <w:overflowPunct/>
        <w:autoSpaceDE/>
        <w:autoSpaceDN/>
        <w:snapToGrid w:val="0"/>
        <w:spacing w:after="0"/>
        <w:textAlignment w:val="auto"/>
        <w:rPr>
          <w:rFonts w:ascii="Arial" w:hAnsi="Arial" w:cs="Arial" w:eastAsiaTheme="minorEastAsia"/>
          <w:b/>
          <w:highlight w:val="none"/>
        </w:rPr>
      </w:pPr>
    </w:p>
    <w:p>
      <w:pPr>
        <w:overflowPunct/>
        <w:autoSpaceDE/>
        <w:autoSpaceDN/>
        <w:snapToGrid w:val="0"/>
        <w:spacing w:after="0"/>
        <w:textAlignment w:val="auto"/>
        <w:rPr>
          <w:rFonts w:ascii="Arial" w:hAnsi="Arial" w:cs="Arial" w:eastAsiaTheme="minorEastAsia"/>
          <w:b/>
          <w:highlight w:val="none"/>
        </w:rPr>
      </w:pPr>
      <w:r>
        <w:rPr>
          <w:rFonts w:ascii="Arial" w:hAnsi="Arial" w:eastAsia="等线" w:cs="Arial"/>
          <w:b/>
          <w:highlight w:val="none"/>
        </w:rPr>
        <w:t>TS 38.52</w:t>
      </w:r>
      <w:r>
        <w:rPr>
          <w:rFonts w:hint="default" w:ascii="Arial" w:hAnsi="Arial" w:eastAsia="等线" w:cs="Arial"/>
          <w:b/>
          <w:highlight w:val="none"/>
          <w:lang w:val="en-US" w:eastAsia="zh-CN"/>
        </w:rPr>
        <w:t>2</w:t>
      </w:r>
      <w:r>
        <w:rPr>
          <w:rFonts w:ascii="Arial" w:hAnsi="Arial" w:eastAsia="等线" w:cs="Arial"/>
          <w:b/>
          <w:highlight w:val="none"/>
        </w:rPr>
        <w:t xml:space="preserve"> CRs</w:t>
      </w:r>
    </w:p>
    <w:p>
      <w:pPr>
        <w:numPr>
          <w:ilvl w:val="0"/>
          <w:numId w:val="6"/>
        </w:numPr>
        <w:shd w:val="clear"/>
        <w:tabs>
          <w:tab w:val="left" w:pos="567"/>
        </w:tabs>
        <w:overflowPunct/>
        <w:autoSpaceDE/>
        <w:autoSpaceDN/>
        <w:snapToGrid w:val="0"/>
        <w:spacing w:after="0"/>
        <w:textAlignment w:val="auto"/>
        <w:outlineLvl w:val="0"/>
        <w:rPr>
          <w:rFonts w:ascii="Arial" w:hAnsi="Arial" w:eastAsia="等线" w:cs="Arial"/>
          <w:bCs/>
        </w:rPr>
      </w:pPr>
      <w:r>
        <w:rPr>
          <w:rFonts w:hint="eastAsia" w:ascii="Arial" w:hAnsi="Arial" w:eastAsia="等线" w:cs="Arial"/>
          <w:bCs/>
          <w:highlight w:val="none"/>
        </w:rPr>
        <w:t>R5-223783</w:t>
      </w:r>
      <w:r>
        <w:rPr>
          <w:rFonts w:hint="eastAsia" w:ascii="Arial" w:hAnsi="Arial" w:eastAsia="等线" w:cs="Arial"/>
          <w:highlight w:val="none"/>
        </w:rPr>
        <w:tab/>
      </w:r>
      <w:r>
        <w:rPr>
          <w:rFonts w:hint="eastAsia" w:ascii="Arial" w:hAnsi="Arial" w:eastAsia="等线" w:cs="Arial"/>
          <w:highlight w:val="none"/>
        </w:rPr>
        <w:t>Jumbo Applicability CR for NR_RF_TxD WI</w:t>
      </w:r>
      <w:r>
        <w:rPr>
          <w:rFonts w:hint="default" w:ascii="Arial" w:hAnsi="Arial" w:eastAsia="等线" w:cs="Arial"/>
          <w:highlight w:val="none"/>
          <w:lang w:val="en-US"/>
        </w:rPr>
        <w:t xml:space="preserve">, </w:t>
      </w:r>
      <w:r>
        <w:rPr>
          <w:rFonts w:hint="eastAsia" w:ascii="Arial" w:hAnsi="Arial" w:eastAsia="等线" w:cs="Arial"/>
          <w:highlight w:val="none"/>
        </w:rPr>
        <w:t>CMCC, Bureau Veritas, Huawei, Hisilicon</w:t>
      </w: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2">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58419666"/>
    <w:multiLevelType w:val="singleLevel"/>
    <w:tmpl w:val="58419666"/>
    <w:lvl w:ilvl="0" w:tentative="0">
      <w:start w:val="1"/>
      <w:numFmt w:val="decimal"/>
      <w:lvlText w:val="[%1]"/>
      <w:lvlJc w:val="left"/>
    </w:lvl>
  </w:abstractNum>
  <w:abstractNum w:abstractNumId="4">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1"/>
  </w:num>
  <w:num w:numId="3">
    <w:abstractNumId w:val="5"/>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7BD0"/>
    <w:rsid w:val="00011C3B"/>
    <w:rsid w:val="00014DBC"/>
    <w:rsid w:val="000156ED"/>
    <w:rsid w:val="00022B68"/>
    <w:rsid w:val="000276C5"/>
    <w:rsid w:val="00027EED"/>
    <w:rsid w:val="00030C7C"/>
    <w:rsid w:val="000422E4"/>
    <w:rsid w:val="0004456C"/>
    <w:rsid w:val="000507D9"/>
    <w:rsid w:val="00052069"/>
    <w:rsid w:val="0005259B"/>
    <w:rsid w:val="00053FEE"/>
    <w:rsid w:val="000608BD"/>
    <w:rsid w:val="00060AE4"/>
    <w:rsid w:val="00064034"/>
    <w:rsid w:val="000647A5"/>
    <w:rsid w:val="000746A7"/>
    <w:rsid w:val="000763DB"/>
    <w:rsid w:val="00084FEF"/>
    <w:rsid w:val="0009013C"/>
    <w:rsid w:val="000910BB"/>
    <w:rsid w:val="000926AF"/>
    <w:rsid w:val="000A0D6B"/>
    <w:rsid w:val="000A1E20"/>
    <w:rsid w:val="000A3ED2"/>
    <w:rsid w:val="000A6495"/>
    <w:rsid w:val="000A6736"/>
    <w:rsid w:val="000A7856"/>
    <w:rsid w:val="000B1390"/>
    <w:rsid w:val="000C00FA"/>
    <w:rsid w:val="000C51AA"/>
    <w:rsid w:val="000D17BC"/>
    <w:rsid w:val="000D2186"/>
    <w:rsid w:val="000E4F35"/>
    <w:rsid w:val="000F6981"/>
    <w:rsid w:val="000F6C1C"/>
    <w:rsid w:val="00101FF9"/>
    <w:rsid w:val="00102543"/>
    <w:rsid w:val="00104C0B"/>
    <w:rsid w:val="001139D7"/>
    <w:rsid w:val="001154BF"/>
    <w:rsid w:val="00116AFB"/>
    <w:rsid w:val="00116F4B"/>
    <w:rsid w:val="00131E8B"/>
    <w:rsid w:val="00137471"/>
    <w:rsid w:val="00141E36"/>
    <w:rsid w:val="00150FD3"/>
    <w:rsid w:val="00164BB8"/>
    <w:rsid w:val="00165A26"/>
    <w:rsid w:val="00172FED"/>
    <w:rsid w:val="00174896"/>
    <w:rsid w:val="001755B5"/>
    <w:rsid w:val="00180C40"/>
    <w:rsid w:val="0018146B"/>
    <w:rsid w:val="00184428"/>
    <w:rsid w:val="001A1F4C"/>
    <w:rsid w:val="001A248F"/>
    <w:rsid w:val="001A3B5F"/>
    <w:rsid w:val="001A40D5"/>
    <w:rsid w:val="001B3C33"/>
    <w:rsid w:val="001B5CA8"/>
    <w:rsid w:val="001C4490"/>
    <w:rsid w:val="001C536A"/>
    <w:rsid w:val="001D2C1A"/>
    <w:rsid w:val="001D3BA2"/>
    <w:rsid w:val="001D44B7"/>
    <w:rsid w:val="001D633D"/>
    <w:rsid w:val="001D6C6C"/>
    <w:rsid w:val="001E0075"/>
    <w:rsid w:val="001E1CAE"/>
    <w:rsid w:val="001F1B1F"/>
    <w:rsid w:val="001F2610"/>
    <w:rsid w:val="001F2A20"/>
    <w:rsid w:val="001F35C8"/>
    <w:rsid w:val="001F486F"/>
    <w:rsid w:val="001F75AC"/>
    <w:rsid w:val="00201D8E"/>
    <w:rsid w:val="00207857"/>
    <w:rsid w:val="00207DC4"/>
    <w:rsid w:val="0022485E"/>
    <w:rsid w:val="00226C35"/>
    <w:rsid w:val="00230188"/>
    <w:rsid w:val="00243A99"/>
    <w:rsid w:val="002458FB"/>
    <w:rsid w:val="00246451"/>
    <w:rsid w:val="00257607"/>
    <w:rsid w:val="00267542"/>
    <w:rsid w:val="0029567C"/>
    <w:rsid w:val="002B36C1"/>
    <w:rsid w:val="002D332D"/>
    <w:rsid w:val="002D69E5"/>
    <w:rsid w:val="002E5245"/>
    <w:rsid w:val="002F5C28"/>
    <w:rsid w:val="00301B7A"/>
    <w:rsid w:val="00306D59"/>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4FEE"/>
    <w:rsid w:val="003B612F"/>
    <w:rsid w:val="003B7182"/>
    <w:rsid w:val="003B7727"/>
    <w:rsid w:val="003C2699"/>
    <w:rsid w:val="003C46A8"/>
    <w:rsid w:val="003D5036"/>
    <w:rsid w:val="003D764D"/>
    <w:rsid w:val="003E3A1A"/>
    <w:rsid w:val="0040091C"/>
    <w:rsid w:val="00401AC0"/>
    <w:rsid w:val="00406B20"/>
    <w:rsid w:val="00406D7A"/>
    <w:rsid w:val="004113A3"/>
    <w:rsid w:val="004119C6"/>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599A"/>
    <w:rsid w:val="00496099"/>
    <w:rsid w:val="004967C7"/>
    <w:rsid w:val="00496870"/>
    <w:rsid w:val="00497727"/>
    <w:rsid w:val="004B15B8"/>
    <w:rsid w:val="004B2602"/>
    <w:rsid w:val="004B360A"/>
    <w:rsid w:val="004B566C"/>
    <w:rsid w:val="004B6BDD"/>
    <w:rsid w:val="004B7B48"/>
    <w:rsid w:val="004C638C"/>
    <w:rsid w:val="004D3F3A"/>
    <w:rsid w:val="004D4AB1"/>
    <w:rsid w:val="004E35F4"/>
    <w:rsid w:val="004F10D6"/>
    <w:rsid w:val="004F218A"/>
    <w:rsid w:val="004F26A7"/>
    <w:rsid w:val="0050334E"/>
    <w:rsid w:val="00505387"/>
    <w:rsid w:val="005123E3"/>
    <w:rsid w:val="00512DF7"/>
    <w:rsid w:val="005141E7"/>
    <w:rsid w:val="00514F30"/>
    <w:rsid w:val="00517E63"/>
    <w:rsid w:val="00526B0D"/>
    <w:rsid w:val="00532752"/>
    <w:rsid w:val="00537438"/>
    <w:rsid w:val="00544FBF"/>
    <w:rsid w:val="005474BA"/>
    <w:rsid w:val="0055298D"/>
    <w:rsid w:val="0055346F"/>
    <w:rsid w:val="005579FF"/>
    <w:rsid w:val="00567CCA"/>
    <w:rsid w:val="0057152E"/>
    <w:rsid w:val="00572B54"/>
    <w:rsid w:val="0057428D"/>
    <w:rsid w:val="00575E4D"/>
    <w:rsid w:val="005776DD"/>
    <w:rsid w:val="00582117"/>
    <w:rsid w:val="0058478F"/>
    <w:rsid w:val="00591815"/>
    <w:rsid w:val="00593315"/>
    <w:rsid w:val="00597F11"/>
    <w:rsid w:val="005A115C"/>
    <w:rsid w:val="005A170D"/>
    <w:rsid w:val="005A6C96"/>
    <w:rsid w:val="005B02E0"/>
    <w:rsid w:val="005D0418"/>
    <w:rsid w:val="005D2C17"/>
    <w:rsid w:val="005E1D58"/>
    <w:rsid w:val="005F11A7"/>
    <w:rsid w:val="00603CAA"/>
    <w:rsid w:val="00610E37"/>
    <w:rsid w:val="006207ED"/>
    <w:rsid w:val="00626BC9"/>
    <w:rsid w:val="00632E20"/>
    <w:rsid w:val="006347A6"/>
    <w:rsid w:val="006458DF"/>
    <w:rsid w:val="00650830"/>
    <w:rsid w:val="00650D52"/>
    <w:rsid w:val="00661295"/>
    <w:rsid w:val="006615B2"/>
    <w:rsid w:val="00662313"/>
    <w:rsid w:val="00663614"/>
    <w:rsid w:val="00673911"/>
    <w:rsid w:val="00682E5B"/>
    <w:rsid w:val="006870C9"/>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F6569"/>
    <w:rsid w:val="00701410"/>
    <w:rsid w:val="0070374F"/>
    <w:rsid w:val="007065AF"/>
    <w:rsid w:val="007113A1"/>
    <w:rsid w:val="00721CF6"/>
    <w:rsid w:val="00723E46"/>
    <w:rsid w:val="00724A07"/>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D3741"/>
    <w:rsid w:val="007D78EC"/>
    <w:rsid w:val="007E1D15"/>
    <w:rsid w:val="007E1DEA"/>
    <w:rsid w:val="007E2202"/>
    <w:rsid w:val="007E3DC9"/>
    <w:rsid w:val="007F37D7"/>
    <w:rsid w:val="0080576D"/>
    <w:rsid w:val="0080790B"/>
    <w:rsid w:val="008145EA"/>
    <w:rsid w:val="0081571A"/>
    <w:rsid w:val="00815869"/>
    <w:rsid w:val="00816B81"/>
    <w:rsid w:val="00821450"/>
    <w:rsid w:val="00822186"/>
    <w:rsid w:val="00823B90"/>
    <w:rsid w:val="008246BD"/>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A5D74"/>
    <w:rsid w:val="008C1698"/>
    <w:rsid w:val="008C1A3D"/>
    <w:rsid w:val="008C1AB3"/>
    <w:rsid w:val="008C597E"/>
    <w:rsid w:val="008D01C3"/>
    <w:rsid w:val="008D0F29"/>
    <w:rsid w:val="008D1E13"/>
    <w:rsid w:val="008D6549"/>
    <w:rsid w:val="008D70D2"/>
    <w:rsid w:val="008E0118"/>
    <w:rsid w:val="008F129B"/>
    <w:rsid w:val="008F4EAF"/>
    <w:rsid w:val="00900424"/>
    <w:rsid w:val="00900AE8"/>
    <w:rsid w:val="00900DAD"/>
    <w:rsid w:val="00902892"/>
    <w:rsid w:val="00910091"/>
    <w:rsid w:val="00912EAA"/>
    <w:rsid w:val="0091408E"/>
    <w:rsid w:val="0092762F"/>
    <w:rsid w:val="009378CA"/>
    <w:rsid w:val="0095025E"/>
    <w:rsid w:val="00955C4C"/>
    <w:rsid w:val="00960138"/>
    <w:rsid w:val="00967129"/>
    <w:rsid w:val="0099165D"/>
    <w:rsid w:val="00995338"/>
    <w:rsid w:val="00996777"/>
    <w:rsid w:val="009A46B2"/>
    <w:rsid w:val="009B2021"/>
    <w:rsid w:val="009B3938"/>
    <w:rsid w:val="009C0BC7"/>
    <w:rsid w:val="009C6592"/>
    <w:rsid w:val="009E07C3"/>
    <w:rsid w:val="009E209B"/>
    <w:rsid w:val="009E48FB"/>
    <w:rsid w:val="009F0747"/>
    <w:rsid w:val="009F2FC8"/>
    <w:rsid w:val="00A01025"/>
    <w:rsid w:val="00A03514"/>
    <w:rsid w:val="00A0734A"/>
    <w:rsid w:val="00A16D4A"/>
    <w:rsid w:val="00A17079"/>
    <w:rsid w:val="00A223FD"/>
    <w:rsid w:val="00A3263D"/>
    <w:rsid w:val="00A37A61"/>
    <w:rsid w:val="00A448C3"/>
    <w:rsid w:val="00A4547E"/>
    <w:rsid w:val="00A458D4"/>
    <w:rsid w:val="00A46FB7"/>
    <w:rsid w:val="00A51525"/>
    <w:rsid w:val="00A53118"/>
    <w:rsid w:val="00A5412E"/>
    <w:rsid w:val="00A5592E"/>
    <w:rsid w:val="00A6211B"/>
    <w:rsid w:val="00A727B5"/>
    <w:rsid w:val="00A86AB5"/>
    <w:rsid w:val="00A878BD"/>
    <w:rsid w:val="00A97226"/>
    <w:rsid w:val="00AA0E64"/>
    <w:rsid w:val="00AA0ED2"/>
    <w:rsid w:val="00AA142F"/>
    <w:rsid w:val="00AA2276"/>
    <w:rsid w:val="00AA312F"/>
    <w:rsid w:val="00AA53DB"/>
    <w:rsid w:val="00AB239A"/>
    <w:rsid w:val="00AB4928"/>
    <w:rsid w:val="00AC39FB"/>
    <w:rsid w:val="00AD16DF"/>
    <w:rsid w:val="00AD53C7"/>
    <w:rsid w:val="00AD7ADC"/>
    <w:rsid w:val="00AE08EB"/>
    <w:rsid w:val="00AE3CC7"/>
    <w:rsid w:val="00AE7399"/>
    <w:rsid w:val="00AF1C71"/>
    <w:rsid w:val="00AF7BAA"/>
    <w:rsid w:val="00AF7CB0"/>
    <w:rsid w:val="00B00BBE"/>
    <w:rsid w:val="00B05DF3"/>
    <w:rsid w:val="00B10710"/>
    <w:rsid w:val="00B1699A"/>
    <w:rsid w:val="00B208FA"/>
    <w:rsid w:val="00B24F38"/>
    <w:rsid w:val="00B25C12"/>
    <w:rsid w:val="00B25F77"/>
    <w:rsid w:val="00B2766F"/>
    <w:rsid w:val="00B31ABC"/>
    <w:rsid w:val="00B362F6"/>
    <w:rsid w:val="00B445ED"/>
    <w:rsid w:val="00B45690"/>
    <w:rsid w:val="00B52E61"/>
    <w:rsid w:val="00B5568B"/>
    <w:rsid w:val="00B6300F"/>
    <w:rsid w:val="00B70389"/>
    <w:rsid w:val="00B76FB6"/>
    <w:rsid w:val="00B8258A"/>
    <w:rsid w:val="00B84623"/>
    <w:rsid w:val="00B84DE4"/>
    <w:rsid w:val="00B84EF0"/>
    <w:rsid w:val="00B92602"/>
    <w:rsid w:val="00B969B9"/>
    <w:rsid w:val="00BB3EA4"/>
    <w:rsid w:val="00BB6387"/>
    <w:rsid w:val="00BB66D5"/>
    <w:rsid w:val="00BC21B2"/>
    <w:rsid w:val="00BC7E6E"/>
    <w:rsid w:val="00BD380E"/>
    <w:rsid w:val="00BE1D1F"/>
    <w:rsid w:val="00BE5E66"/>
    <w:rsid w:val="00C00281"/>
    <w:rsid w:val="00C03F5F"/>
    <w:rsid w:val="00C05625"/>
    <w:rsid w:val="00C0662E"/>
    <w:rsid w:val="00C1537B"/>
    <w:rsid w:val="00C16215"/>
    <w:rsid w:val="00C1751E"/>
    <w:rsid w:val="00C17C6C"/>
    <w:rsid w:val="00C21339"/>
    <w:rsid w:val="00C266F9"/>
    <w:rsid w:val="00C33389"/>
    <w:rsid w:val="00C34723"/>
    <w:rsid w:val="00C35EE1"/>
    <w:rsid w:val="00C371EA"/>
    <w:rsid w:val="00C43240"/>
    <w:rsid w:val="00C445AD"/>
    <w:rsid w:val="00C44CBA"/>
    <w:rsid w:val="00C458F0"/>
    <w:rsid w:val="00C4666A"/>
    <w:rsid w:val="00C46B40"/>
    <w:rsid w:val="00C479A3"/>
    <w:rsid w:val="00C50477"/>
    <w:rsid w:val="00C55C4D"/>
    <w:rsid w:val="00C74DAF"/>
    <w:rsid w:val="00C80116"/>
    <w:rsid w:val="00C80A25"/>
    <w:rsid w:val="00C85423"/>
    <w:rsid w:val="00C86E78"/>
    <w:rsid w:val="00C87BFC"/>
    <w:rsid w:val="00C93064"/>
    <w:rsid w:val="00C961FF"/>
    <w:rsid w:val="00CA32C2"/>
    <w:rsid w:val="00CA53ED"/>
    <w:rsid w:val="00CE2E10"/>
    <w:rsid w:val="00CE7154"/>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01F2"/>
    <w:rsid w:val="00D933FA"/>
    <w:rsid w:val="00DB4375"/>
    <w:rsid w:val="00DD29D8"/>
    <w:rsid w:val="00DE2A08"/>
    <w:rsid w:val="00DE2B4D"/>
    <w:rsid w:val="00DF07C3"/>
    <w:rsid w:val="00DF7E62"/>
    <w:rsid w:val="00E00E44"/>
    <w:rsid w:val="00E0221C"/>
    <w:rsid w:val="00E049A8"/>
    <w:rsid w:val="00E12ECB"/>
    <w:rsid w:val="00E1451F"/>
    <w:rsid w:val="00E15877"/>
    <w:rsid w:val="00E15A72"/>
    <w:rsid w:val="00E15B51"/>
    <w:rsid w:val="00E15E28"/>
    <w:rsid w:val="00E16577"/>
    <w:rsid w:val="00E36051"/>
    <w:rsid w:val="00E475FF"/>
    <w:rsid w:val="00E51574"/>
    <w:rsid w:val="00E544FA"/>
    <w:rsid w:val="00E57566"/>
    <w:rsid w:val="00E5792E"/>
    <w:rsid w:val="00E6077C"/>
    <w:rsid w:val="00E6618E"/>
    <w:rsid w:val="00E67174"/>
    <w:rsid w:val="00E7120B"/>
    <w:rsid w:val="00E75D6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432D"/>
    <w:rsid w:val="00F549A3"/>
    <w:rsid w:val="00F55CBF"/>
    <w:rsid w:val="00F60F3F"/>
    <w:rsid w:val="00F65058"/>
    <w:rsid w:val="00F66244"/>
    <w:rsid w:val="00F72B10"/>
    <w:rsid w:val="00F74436"/>
    <w:rsid w:val="00F77359"/>
    <w:rsid w:val="00F803A6"/>
    <w:rsid w:val="00F85457"/>
    <w:rsid w:val="00F86A73"/>
    <w:rsid w:val="00FA58DA"/>
    <w:rsid w:val="00FA62E7"/>
    <w:rsid w:val="00FB40FF"/>
    <w:rsid w:val="00FB51D5"/>
    <w:rsid w:val="00FC345B"/>
    <w:rsid w:val="00FC5D22"/>
    <w:rsid w:val="00FD45D0"/>
    <w:rsid w:val="00FD4E37"/>
    <w:rsid w:val="00FD6FDD"/>
    <w:rsid w:val="00FE0D1B"/>
    <w:rsid w:val="010E0D93"/>
    <w:rsid w:val="02F66AE2"/>
    <w:rsid w:val="03C574E9"/>
    <w:rsid w:val="04ED10C2"/>
    <w:rsid w:val="073E78C5"/>
    <w:rsid w:val="074C4984"/>
    <w:rsid w:val="0C323CBA"/>
    <w:rsid w:val="0D576F1D"/>
    <w:rsid w:val="10B9696A"/>
    <w:rsid w:val="139A71BC"/>
    <w:rsid w:val="14785989"/>
    <w:rsid w:val="160F311C"/>
    <w:rsid w:val="1A3C66E6"/>
    <w:rsid w:val="270A14EF"/>
    <w:rsid w:val="27452B8C"/>
    <w:rsid w:val="286F11F3"/>
    <w:rsid w:val="2BDB3982"/>
    <w:rsid w:val="2E5B5FFD"/>
    <w:rsid w:val="31497072"/>
    <w:rsid w:val="316F7BD4"/>
    <w:rsid w:val="34C572C6"/>
    <w:rsid w:val="351F0F11"/>
    <w:rsid w:val="39BD4D24"/>
    <w:rsid w:val="3A097642"/>
    <w:rsid w:val="3A7B10C3"/>
    <w:rsid w:val="3B421E74"/>
    <w:rsid w:val="419209D4"/>
    <w:rsid w:val="43F15D96"/>
    <w:rsid w:val="44AE57EF"/>
    <w:rsid w:val="4542296B"/>
    <w:rsid w:val="48506B94"/>
    <w:rsid w:val="51FB635C"/>
    <w:rsid w:val="563635EF"/>
    <w:rsid w:val="564E5D25"/>
    <w:rsid w:val="56931BEC"/>
    <w:rsid w:val="57CF5DE7"/>
    <w:rsid w:val="58024ACB"/>
    <w:rsid w:val="58EE670A"/>
    <w:rsid w:val="5A466BC8"/>
    <w:rsid w:val="5DA87A98"/>
    <w:rsid w:val="601A1055"/>
    <w:rsid w:val="616A5A1A"/>
    <w:rsid w:val="67473D45"/>
    <w:rsid w:val="69285720"/>
    <w:rsid w:val="6A8A758B"/>
    <w:rsid w:val="706008AE"/>
    <w:rsid w:val="716D30CB"/>
    <w:rsid w:val="73D13601"/>
    <w:rsid w:val="73DA34E6"/>
    <w:rsid w:val="79E91CF9"/>
    <w:rsid w:val="7B354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4</Pages>
  <Words>741</Words>
  <Characters>3989</Characters>
  <Lines>35</Lines>
  <Paragraphs>10</Paragraphs>
  <TotalTime>10</TotalTime>
  <ScaleCrop>false</ScaleCrop>
  <LinksUpToDate>false</LinksUpToDate>
  <CharactersWithSpaces>4708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2021-08-31T04:58:00Z</dcterms:created>
  <dc:creator>Joern Krause</dc:creator>
  <cp:lastModifiedBy>wangliyuan@hq.cmcc</cp:lastModifiedBy>
  <dcterms:modified xsi:type="dcterms:W3CDTF">2022-05-27T03:20:12Z</dcterms:modified>
  <dc:title>Status Report to TSG</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021312666DBF4516B68E36983121FB43</vt:lpwstr>
  </property>
</Properties>
</file>